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Compliance Testing Plan</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Organization: Acme Inc</w:t>
      </w:r>
    </w:p>
    <w:p>
      <w:r>
        <w:t xml:space="preserve">Last updated: 2026-03-19</w:t>
      </w:r>
    </w:p>
    <w:p>
      <w:r>
        <w:t xml:space="preserve">Services in scope: 8</w:t>
      </w:r>
    </w:p>
    <w:p>
      <w:r>
        <w:t xml:space="preserve">Test categories: Consent Flow, Data Deletion, Access Controls, Breach Notification</w:t>
      </w:r>
    </w:p>
    <w:p>
      <w:r>
        <w:t xml:space="preserve">This testing plan verifies that compliance controls are implemented correctly across the Acme Inc technology stack. Each test case is mapped to detected services and references applicable regulations (GDPR, CCPA, PCI DSS).</w:t>
      </w:r>
    </w:p>
    <w:p>
      <w:pPr>
        <w:pBdr>
          <w:bottom w:val="single" w:sz="6" w:space="1" w:color="999999"/>
        </w:pBdr>
      </w:pPr>
    </w:p>
    <w:p>
      <w:pPr>
        <w:pStyle w:val="Heading2"/>
      </w:pPr>
      <w:r>
        <w:t>1. Test Plan Overview</w:t>
      </w:r>
    </w:p>
    <w:p>
      <w:r>
        <w:rPr>
          <w:sz w:val="20"/>
        </w:rPr>
        <w:t xml:space="preserve">Category  |  Test Cases  |  Priority  |  Frequency</w:t>
      </w:r>
    </w:p>
    <w:p>
      <w:r>
        <w:rPr>
          <w:sz w:val="20"/>
        </w:rPr>
        <w:t xml:space="preserve">Consent Flow  |  Consent collection, withdrawal, preference persistence  |  Critical  |  Every release</w:t>
      </w:r>
    </w:p>
    <w:p>
      <w:r>
        <w:rPr>
          <w:sz w:val="20"/>
        </w:rPr>
        <w:t xml:space="preserve">Data Deletion  |  DSAR deletion, cascade deletion, verification  |  Critical  |  Monthly</w:t>
      </w:r>
    </w:p>
    <w:p>
      <w:r>
        <w:rPr>
          <w:sz w:val="20"/>
        </w:rPr>
        <w:t xml:space="preserve">Access Controls  |  RBAC enforcement, privilege escalation, API auth  |  High  |  Every release</w:t>
      </w:r>
    </w:p>
    <w:p>
      <w:r>
        <w:rPr>
          <w:sz w:val="20"/>
        </w:rPr>
        <w:t xml:space="preserve">Breach Notification  |  Detection, containment, notification timing  |  High  |  Quarterly drill</w:t>
      </w:r>
    </w:p>
    <w:p>
      <w:r>
        <w:rPr>
          <w:sz w:val="20"/>
        </w:rPr>
        <w:t xml:space="preserve">Data Minimization  |  Collection scope, retention enforcement  |  Medium  |  Quarterly</w:t>
      </w:r>
    </w:p>
    <w:p>
      <w:r>
        <w:rPr>
          <w:sz w:val="20"/>
        </w:rPr>
        <w:t xml:space="preserve">Encryption  |  At-rest verification, in-transit enforcement  |  High  |  Monthly</w:t>
      </w:r>
    </w:p>
    <w:p>
      <w:pPr>
        <w:pBdr>
          <w:bottom w:val="single" w:sz="6" w:space="1" w:color="999999"/>
        </w:pBdr>
      </w:pPr>
    </w:p>
    <w:p>
      <w:pPr>
        <w:pStyle w:val="Heading2"/>
      </w:pPr>
      <w:r>
        <w:t>2. Consent Flow Test Cases</w:t>
      </w:r>
    </w:p>
    <w:p>
      <w:pPr>
        <w:pStyle w:val="Heading3"/>
      </w:pPr>
      <w:r>
        <w:t>2.1 Consent Collection</w:t>
      </w:r>
    </w:p>
    <w:p>
      <w:r>
        <w:rPr>
          <w:sz w:val="20"/>
        </w:rPr>
        <w:t xml:space="preserve">ID  |  Test Case  |  Expected Result  |  Regulation</w:t>
      </w:r>
    </w:p>
    <w:p>
      <w:r>
        <w:rPr>
          <w:sz w:val="20"/>
        </w:rPr>
        <w:t xml:space="preserve">CF-001  |  User visits site for the first time  |  Consent banner displayed before any tracking  |  GDPR Art. 7, ePrivacy</w:t>
      </w:r>
    </w:p>
    <w:p>
      <w:r>
        <w:rPr>
          <w:sz w:val="20"/>
        </w:rPr>
        <w:t xml:space="preserve">CF-002  |  User declines all optional cookies  |  No analytics/advertising scripts loaded  |  GDPR Art. 7</w:t>
      </w:r>
    </w:p>
    <w:p>
      <w:r>
        <w:rPr>
          <w:sz w:val="20"/>
        </w:rPr>
        <w:t xml:space="preserve">CF-003  |  User accepts only necessary cookies  |  Only essential cookies set; analytics blocked  |  ePrivacy Directive</w:t>
      </w:r>
    </w:p>
    <w:p>
      <w:r>
        <w:rPr>
          <w:sz w:val="20"/>
        </w:rPr>
        <w:t xml:space="preserve">CF-004  |  User accepts all cookies  |  All consented services activated  |  GDPR Art. 7</w:t>
      </w:r>
    </w:p>
    <w:p>
      <w:r>
        <w:rPr>
          <w:sz w:val="20"/>
        </w:rPr>
        <w:t xml:space="preserve">CF-005  |  Consent preference stored correctly  |  Consent record includes: timestamp, scope, version  |  GDPR Art. 7(1)</w:t>
      </w:r>
    </w:p>
    <w:p>
      <w:pPr>
        <w:pStyle w:val="Heading4"/>
      </w:pPr>
      <w:r>
        <w:t>Analytics-Specific Consent Tests</w:t>
      </w:r>
    </w:p>
    <w:p>
      <w:r>
        <w:rPr>
          <w:sz w:val="20"/>
        </w:rPr>
        <w:t xml:space="preserve">CF-A-POS  |  **posthog**: Verify no tracking before consent  |  No network requests to posthog endpoints until consent given  |  GDPR Art. 7</w:t>
      </w:r>
    </w:p>
    <w:p>
      <w:r>
        <w:rPr>
          <w:sz w:val="20"/>
        </w:rPr>
        <w:t xml:space="preserve">CF-A-POS2  |  **posthog**: Verify tracking stops on withdrawal  |  posthog tracking ceases within 1 page load of withdrawal  |  GDPR Art. 7(3)</w:t>
      </w:r>
    </w:p>
    <w:p>
      <w:pPr>
        <w:pStyle w:val="Heading3"/>
      </w:pPr>
      <w:r>
        <w:t>2.2 Consent Withdrawal</w:t>
      </w:r>
    </w:p>
    <w:p>
      <w:r>
        <w:rPr>
          <w:sz w:val="20"/>
        </w:rPr>
        <w:t xml:space="preserve">ID  |  Test Case  |  Expected Result  |  Regulation</w:t>
      </w:r>
    </w:p>
    <w:p>
      <w:r>
        <w:rPr>
          <w:sz w:val="20"/>
        </w:rPr>
        <w:t xml:space="preserve">CW-001  |  User withdraws consent via preference center  |  All non-essential processing stops  |  GDPR Art. 7(3)</w:t>
      </w:r>
    </w:p>
    <w:p>
      <w:r>
        <w:rPr>
          <w:sz w:val="20"/>
        </w:rPr>
        <w:t xml:space="preserve">CW-002  |  Withdrawal is as easy as giving consent  |  Preference center accessible in &lt;=2 clicks from any page  |  GDPR Art. 7(3)</w:t>
      </w:r>
    </w:p>
    <w:p>
      <w:r>
        <w:rPr>
          <w:sz w:val="20"/>
        </w:rPr>
        <w:t xml:space="preserve">CW-003  |  Withdrawal does not affect service core functionality  |  User can still access essential features  |  GDPR Art. 7(4)</w:t>
      </w:r>
    </w:p>
    <w:p>
      <w:r>
        <w:rPr>
          <w:sz w:val="20"/>
        </w:rPr>
        <w:t xml:space="preserve">CW-004  |  Withdrawal propagated to all services  |  All third-party services stop processing within 24h  |  GDPR Art. 7(3)</w:t>
      </w:r>
    </w:p>
    <w:p>
      <w:pPr>
        <w:pBdr>
          <w:bottom w:val="single" w:sz="6" w:space="1" w:color="999999"/>
        </w:pBdr>
      </w:pPr>
    </w:p>
    <w:p>
      <w:pPr>
        <w:pStyle w:val="Heading2"/>
      </w:pPr>
      <w:r>
        <w:t>3. Data Deletion Test Cases</w:t>
      </w:r>
    </w:p>
    <w:p>
      <w:pPr>
        <w:pStyle w:val="Heading3"/>
      </w:pPr>
      <w:r>
        <w:t>3.1 DSAR Deletion (Right to Erasure)</w:t>
      </w:r>
    </w:p>
    <w:p>
      <w:r>
        <w:rPr>
          <w:sz w:val="20"/>
        </w:rPr>
        <w:t xml:space="preserve">ID  |  Test Case  |  Expected Result  |  Regulation</w:t>
      </w:r>
    </w:p>
    <w:p>
      <w:r>
        <w:rPr>
          <w:sz w:val="20"/>
        </w:rPr>
        <w:t xml:space="preserve">DD-001  |  Submit deletion request via DSAR portal  |  Request acknowledged within 24 hours  |  GDPR Art. 17</w:t>
      </w:r>
    </w:p>
    <w:p>
      <w:r>
        <w:rPr>
          <w:sz w:val="20"/>
        </w:rPr>
        <w:t xml:space="preserve">DD-002  |  Deletion completed within 30-day window  |  All personal data removed from all systems  |  GDPR Art. 12(3)</w:t>
      </w:r>
    </w:p>
    <w:p>
      <w:r>
        <w:rPr>
          <w:sz w:val="20"/>
        </w:rPr>
        <w:t xml:space="preserve">DD-003  |  Deletion confirmation sent to user  |  User receives written confirmation of deletion  |  GDPR Art. 12(1)</w:t>
      </w:r>
    </w:p>
    <w:p>
      <w:r>
        <w:rPr>
          <w:sz w:val="20"/>
        </w:rPr>
        <w:t xml:space="preserve">DD-004  |  Backup deletion within 90 days  |  Personal data purged from backups at next rotation  |  GDPR Art. 17(1)</w:t>
      </w:r>
    </w:p>
    <w:p>
      <w:pPr>
        <w:pStyle w:val="Heading3"/>
      </w:pPr>
      <w:r>
        <w:t>3.2 Per-Service Deletion Verification</w:t>
      </w:r>
    </w:p>
    <w:p>
      <w:r>
        <w:rPr>
          <w:sz w:val="20"/>
        </w:rPr>
        <w:t xml:space="preserve">ID  |  Service  |  Test Case  |  Verification Method</w:t>
      </w:r>
    </w:p>
    <w:p>
      <w:r>
        <w:rPr>
          <w:sz w:val="20"/>
        </w:rPr>
        <w:t xml:space="preserve">DD-S-001  |  **@sentry/node**  |  Data fully removed after deletion request  |  Search logs by user ID; expect scrubbed entries</w:t>
      </w:r>
    </w:p>
    <w:p>
      <w:r>
        <w:rPr>
          <w:sz w:val="20"/>
        </w:rPr>
        <w:t xml:space="preserve">DD-S-002  |  **@supabase/supabase-js**  |  Data fully removed after deletion request  |  Query user profile API; expect 404</w:t>
      </w:r>
    </w:p>
    <w:p>
      <w:r>
        <w:rPr>
          <w:sz w:val="20"/>
        </w:rPr>
        <w:t xml:space="preserve">DD-S-003  |  **openai**  |  Data fully removed after deletion request  |  Query AI logs by user ID; expect no matching entries</w:t>
      </w:r>
    </w:p>
    <w:p>
      <w:r>
        <w:rPr>
          <w:sz w:val="20"/>
        </w:rPr>
        <w:t xml:space="preserve">DD-S-004  |  **posthog**  |  Data fully removed after deletion request  |  Export user data report; expect no matching records</w:t>
      </w:r>
    </w:p>
    <w:p>
      <w:r>
        <w:rPr>
          <w:sz w:val="20"/>
        </w:rPr>
        <w:t xml:space="preserve">DD-S-005  |  **prisma**  |  Data fully removed after deletion request  |  Direct DB query by user ID; expect 0 rows</w:t>
      </w:r>
    </w:p>
    <w:p>
      <w:r>
        <w:rPr>
          <w:sz w:val="20"/>
        </w:rPr>
        <w:t xml:space="preserve">DD-S-006  |  **resend**  |  Data fully removed after deletion request  |  Search mailing lists by email; expect not found</w:t>
      </w:r>
    </w:p>
    <w:p>
      <w:r>
        <w:rPr>
          <w:sz w:val="20"/>
        </w:rPr>
        <w:t xml:space="preserve">DD-S-007  |  **stripe**  |  Data fully removed after deletion request  |  Query payment records by user ID; expect empty result</w:t>
      </w:r>
    </w:p>
    <w:p>
      <w:r>
        <w:rPr>
          <w:sz w:val="20"/>
        </w:rPr>
        <w:t xml:space="preserve">DD-S-008  |  **stripe-ios**  |  Data fully removed after deletion request  |  Query payment records by user ID; expect empty result</w:t>
      </w:r>
    </w:p>
    <w:p>
      <w:pPr>
        <w:pStyle w:val="Heading3"/>
      </w:pPr>
      <w:r>
        <w:t>3.3 Cascade Deletion</w:t>
      </w:r>
    </w:p>
    <w:p>
      <w:r>
        <w:rPr>
          <w:sz w:val="20"/>
        </w:rPr>
        <w:t xml:space="preserve">ID  |  Test Case  |  Expected Result  |  Regulation</w:t>
      </w:r>
    </w:p>
    <w:p>
      <w:r>
        <w:rPr>
          <w:sz w:val="20"/>
        </w:rPr>
        <w:t xml:space="preserve">DD-C-001  |  Delete user account  |  Data removed from all 8 detected services  |  GDPR Art. 17</w:t>
      </w:r>
    </w:p>
    <w:p>
      <w:r>
        <w:rPr>
          <w:sz w:val="20"/>
        </w:rPr>
        <w:t xml:space="preserve">DD-C-002  |  Verify no orphaned records  |  Foreign key references cleaned up; no dangling data  |  GDPR Art. 5(1)(e)</w:t>
      </w:r>
    </w:p>
    <w:p>
      <w:r>
        <w:rPr>
          <w:sz w:val="20"/>
        </w:rPr>
        <w:t xml:space="preserve">DD-C-003  |  Verify deletion audit log  |  Deletion event logged with timestamp, scope, operator  |  GDPR Art. 5(2)</w:t>
      </w:r>
    </w:p>
    <w:p>
      <w:pPr>
        <w:pBdr>
          <w:bottom w:val="single" w:sz="6" w:space="1" w:color="999999"/>
        </w:pBdr>
      </w:pPr>
    </w:p>
    <w:p>
      <w:pPr>
        <w:pStyle w:val="Heading2"/>
      </w:pPr>
      <w:r>
        <w:t>4. Access Control Test Cases</w:t>
      </w:r>
    </w:p>
    <w:p>
      <w:pPr>
        <w:pStyle w:val="Heading3"/>
      </w:pPr>
      <w:r>
        <w:t>4.1 Authentication</w:t>
      </w:r>
    </w:p>
    <w:p>
      <w:r>
        <w:rPr>
          <w:sz w:val="20"/>
        </w:rPr>
        <w:t xml:space="preserve">ID  |  Test Case  |  Expected Result  |  Regulation</w:t>
      </w:r>
    </w:p>
    <w:p>
      <w:r>
        <w:rPr>
          <w:sz w:val="20"/>
        </w:rPr>
        <w:t xml:space="preserve">AC-001  |  Attempt access without authentication  |  401 Unauthorized returned  |  GDPR Art. 32</w:t>
      </w:r>
    </w:p>
    <w:p>
      <w:r>
        <w:rPr>
          <w:sz w:val="20"/>
        </w:rPr>
        <w:t xml:space="preserve">AC-002  |  Attempt access with expired token  |  401 Unauthorized; must re-authenticate  |  GDPR Art. 32</w:t>
      </w:r>
    </w:p>
    <w:p>
      <w:r>
        <w:rPr>
          <w:sz w:val="20"/>
        </w:rPr>
        <w:t xml:space="preserve">AC-003  |  Brute-force login (&gt;5 attempts)  |  Account locked after 5 failed attempts  |  GDPR Art. 32</w:t>
      </w:r>
    </w:p>
    <w:p>
      <w:r>
        <w:rPr>
          <w:sz w:val="20"/>
        </w:rPr>
        <w:t xml:space="preserve">AC-004  |  Session timeout after inactivity  |  Session expires after configured timeout  |  GDPR Art. 32</w:t>
      </w:r>
    </w:p>
    <w:p>
      <w:pPr>
        <w:pStyle w:val="Heading4"/>
      </w:pPr>
      <w:r>
        <w:t>Auth Service-Specific Tests</w:t>
      </w:r>
    </w:p>
    <w:p>
      <w:pPr>
        <w:pStyle w:val="ListParagraph"/>
        <w:numPr>
          <w:ilvl w:val="0"/>
          <w:numId w:val="1"/>
        </w:numPr>
      </w:pPr>
      <w:r>
        <w:t xml:space="preserve">**@supabase/supabase-js**: Verify MFA enforcement for admin accounts</w:t>
      </w:r>
    </w:p>
    <w:p>
      <w:pPr>
        <w:pStyle w:val="ListParagraph"/>
        <w:numPr>
          <w:ilvl w:val="0"/>
          <w:numId w:val="1"/>
        </w:numPr>
      </w:pPr>
      <w:r>
        <w:t xml:space="preserve">**@supabase/supabase-js**: Verify OAuth scope restrictions match configured minimums</w:t>
      </w:r>
    </w:p>
    <w:p>
      <w:pPr>
        <w:pStyle w:val="ListParagraph"/>
        <w:numPr>
          <w:ilvl w:val="0"/>
          <w:numId w:val="1"/>
        </w:numPr>
      </w:pPr>
      <w:r>
        <w:t xml:space="preserve">**@supabase/supabase-js**: Verify session token rotation on privilege escalation</w:t>
      </w:r>
    </w:p>
    <w:p>
      <w:pPr>
        <w:pStyle w:val="Heading3"/>
      </w:pPr>
      <w:r>
        <w:t>4.2 Authorization (RBAC)</w:t>
      </w:r>
    </w:p>
    <w:p>
      <w:r>
        <w:rPr>
          <w:sz w:val="20"/>
        </w:rPr>
        <w:t xml:space="preserve">ID  |  Test Case  |  Expected Result  |  Regulation</w:t>
      </w:r>
    </w:p>
    <w:p>
      <w:r>
        <w:rPr>
          <w:sz w:val="20"/>
        </w:rPr>
        <w:t xml:space="preserve">AC-R-001  |  Viewer role attempts write operation  |  403 Forbidden  |  GDPR Art. 32</w:t>
      </w:r>
    </w:p>
    <w:p>
      <w:r>
        <w:rPr>
          <w:sz w:val="20"/>
        </w:rPr>
        <w:t xml:space="preserve">AC-R-002  |  Editor role attempts admin operation  |  403 Forbidden  |  GDPR Art. 32</w:t>
      </w:r>
    </w:p>
    <w:p>
      <w:r>
        <w:rPr>
          <w:sz w:val="20"/>
        </w:rPr>
        <w:t xml:space="preserve">AC-R-003  |  Service account accesses only scoped resources  |  No access to out-of-scope resources  |  GDPR Art. 25</w:t>
      </w:r>
    </w:p>
    <w:p>
      <w:r>
        <w:rPr>
          <w:sz w:val="20"/>
        </w:rPr>
        <w:t xml:space="preserve">AC-R-004  |  Role change propagated immediately  |  Updated permissions effective on next request  |  GDPR Art. 32</w:t>
      </w:r>
    </w:p>
    <w:p>
      <w:pPr>
        <w:pStyle w:val="Heading3"/>
      </w:pPr>
      <w:r>
        <w:t>4.3 API Security</w:t>
      </w:r>
    </w:p>
    <w:p>
      <w:r>
        <w:rPr>
          <w:sz w:val="20"/>
        </w:rPr>
        <w:t xml:space="preserve">ID  |  Test Case  |  Expected Result  |  Regulation</w:t>
      </w:r>
    </w:p>
    <w:p>
      <w:r>
        <w:rPr>
          <w:sz w:val="20"/>
        </w:rPr>
        <w:t xml:space="preserve">AC-API-001  |  API request without API key  |  401 Unauthorized  |  GDPR Art. 32</w:t>
      </w:r>
    </w:p>
    <w:p>
      <w:r>
        <w:rPr>
          <w:sz w:val="20"/>
        </w:rPr>
        <w:t xml:space="preserve">AC-API-002  |  API request with revoked key  |  401 Unauthorized  |  GDPR Art. 32</w:t>
      </w:r>
    </w:p>
    <w:p>
      <w:r>
        <w:rPr>
          <w:sz w:val="20"/>
        </w:rPr>
        <w:t xml:space="preserve">AC-API-003  |  Rate limit exceeded  |  429 Too Many Requests  |  GDPR Art. 32</w:t>
      </w:r>
    </w:p>
    <w:p>
      <w:r>
        <w:rPr>
          <w:sz w:val="20"/>
        </w:rPr>
        <w:t xml:space="preserve">AC-API-004  |  CORS policy blocks unauthorized origins  |  Preflight fails for non-whitelisted origins  |  GDPR Art. 32</w:t>
      </w:r>
    </w:p>
    <w:p>
      <w:pPr>
        <w:pBdr>
          <w:bottom w:val="single" w:sz="6" w:space="1" w:color="999999"/>
        </w:pBdr>
      </w:pPr>
    </w:p>
    <w:p>
      <w:pPr>
        <w:pStyle w:val="Heading2"/>
      </w:pPr>
      <w:r>
        <w:t>5. Breach Notification Test Cases</w:t>
      </w:r>
    </w:p>
    <w:p>
      <w:pPr>
        <w:pStyle w:val="Heading3"/>
      </w:pPr>
      <w:r>
        <w:t>5.1 Detection &amp; Containment</w:t>
      </w:r>
    </w:p>
    <w:p>
      <w:r>
        <w:rPr>
          <w:sz w:val="20"/>
        </w:rPr>
        <w:t xml:space="preserve">ID  |  Test Case  |  Expected Result  |  Regulation</w:t>
      </w:r>
    </w:p>
    <w:p>
      <w:r>
        <w:rPr>
          <w:sz w:val="20"/>
        </w:rPr>
        <w:t xml:space="preserve">BN-001  |  Simulate unauthorized data access  |  Alert triggered within 15 minutes  |  GDPR Art. 33</w:t>
      </w:r>
    </w:p>
    <w:p>
      <w:r>
        <w:rPr>
          <w:sz w:val="20"/>
        </w:rPr>
        <w:t xml:space="preserve">BN-002  |  Simulate data exfiltration attempt  |  Anomaly detection flags unusual data transfer  |  GDPR Art. 33</w:t>
      </w:r>
    </w:p>
    <w:p>
      <w:r>
        <w:rPr>
          <w:sz w:val="20"/>
        </w:rPr>
        <w:t xml:space="preserve">BN-003  |  Containment procedure executed  |  Affected systems isolated within 1 hour  |  GDPR Art. 33</w:t>
      </w:r>
    </w:p>
    <w:p>
      <w:r>
        <w:rPr>
          <w:sz w:val="20"/>
        </w:rPr>
        <w:t xml:space="preserve">BN-004  |  Incident logged in breach register  |  Breach record includes: nature, scope, impact, actions  |  GDPR Art. 33(5)</w:t>
      </w:r>
    </w:p>
    <w:p>
      <w:pPr>
        <w:pStyle w:val="Heading4"/>
      </w:pPr>
      <w:r>
        <w:t>Monitoring Service Tests</w:t>
      </w:r>
    </w:p>
    <w:p>
      <w:pPr>
        <w:pStyle w:val="ListParagraph"/>
        <w:numPr>
          <w:ilvl w:val="0"/>
          <w:numId w:val="1"/>
        </w:numPr>
      </w:pPr>
      <w:r>
        <w:t xml:space="preserve">**@sentry/node**: Verify breach alert rules are configured and active</w:t>
      </w:r>
    </w:p>
    <w:p>
      <w:pPr>
        <w:pStyle w:val="ListParagraph"/>
        <w:numPr>
          <w:ilvl w:val="0"/>
          <w:numId w:val="1"/>
        </w:numPr>
      </w:pPr>
      <w:r>
        <w:t xml:space="preserve">**@sentry/node**: Verify alert reaches on-call within 15 minutes of trigger</w:t>
      </w:r>
    </w:p>
    <w:p>
      <w:pPr>
        <w:pStyle w:val="Heading3"/>
      </w:pPr>
      <w:r>
        <w:t>5.2 Notification Timing</w:t>
      </w:r>
    </w:p>
    <w:p>
      <w:r>
        <w:rPr>
          <w:sz w:val="20"/>
        </w:rPr>
        <w:t xml:space="preserve">ID  |  Test Case  |  Expected Result  |  Regulation</w:t>
      </w:r>
    </w:p>
    <w:p>
      <w:r>
        <w:rPr>
          <w:sz w:val="20"/>
        </w:rPr>
        <w:t xml:space="preserve">BN-T-001  |  DPA notification within 72 hours  |  Supervisory authority notified within 72h of awareness  |  GDPR Art. 33(1)</w:t>
      </w:r>
    </w:p>
    <w:p>
      <w:r>
        <w:rPr>
          <w:sz w:val="20"/>
        </w:rPr>
        <w:t xml:space="preserve">BN-T-002  |  User notification without undue delay  |  Affected users notified if high risk to rights  |  GDPR Art. 34(1)</w:t>
      </w:r>
    </w:p>
    <w:p>
      <w:r>
        <w:rPr>
          <w:sz w:val="20"/>
        </w:rPr>
        <w:t xml:space="preserve">BN-T-003  |  Notification content completeness  |  Includes: nature, DPO contact, consequences, measures taken  |  GDPR Art. 33(3)</w:t>
      </w:r>
    </w:p>
    <w:p>
      <w:r>
        <w:rPr>
          <w:sz w:val="20"/>
        </w:rPr>
        <w:t xml:space="preserve">BN-T-004  |  Cross-border notification  |  All relevant DPAs notified for multi-jurisdiction breach  |  GDPR Art. 33(1)</w:t>
      </w:r>
    </w:p>
    <w:p>
      <w:pPr>
        <w:pStyle w:val="Heading3"/>
      </w:pPr>
      <w:r>
        <w:t>5.3 Post-Breach Verification</w:t>
      </w:r>
    </w:p>
    <w:p>
      <w:r>
        <w:rPr>
          <w:sz w:val="20"/>
        </w:rPr>
        <w:t xml:space="preserve">ID  |  Test Case  |  Expected Result  |  Regulation</w:t>
      </w:r>
    </w:p>
    <w:p>
      <w:r>
        <w:rPr>
          <w:sz w:val="20"/>
        </w:rPr>
        <w:t xml:space="preserve">BN-P-001  |  Root cause analysis completed  |  RCA document available within 14 days  |  GDPR Art. 33(5)</w:t>
      </w:r>
    </w:p>
    <w:p>
      <w:r>
        <w:rPr>
          <w:sz w:val="20"/>
        </w:rPr>
        <w:t xml:space="preserve">BN-P-002  |  Remediation measures implemented  |  Vulnerability patched; controls strengthened  |  GDPR Art. 32</w:t>
      </w:r>
    </w:p>
    <w:p>
      <w:r>
        <w:rPr>
          <w:sz w:val="20"/>
        </w:rPr>
        <w:t xml:space="preserve">BN-P-003  |  Breach register updated  |  Register includes full timeline and lessons learned  |  GDPR Art. 33(5)</w:t>
      </w:r>
    </w:p>
    <w:p>
      <w:pPr>
        <w:pBdr>
          <w:bottom w:val="single" w:sz="6" w:space="1" w:color="999999"/>
        </w:pBdr>
      </w:pPr>
    </w:p>
    <w:p>
      <w:pPr>
        <w:pStyle w:val="Heading2"/>
      </w:pPr>
      <w:r>
        <w:t>6. Service-Specific Test Matrix</w:t>
      </w:r>
    </w:p>
    <w:p>
      <w:r>
        <w:rPr>
          <w:sz w:val="20"/>
        </w:rPr>
        <w:t xml:space="preserve">Service  |  Consent  |  Deletion  |  Access Control  |  Breach Detection</w:t>
      </w:r>
    </w:p>
    <w:p>
      <w:r>
        <w:rPr>
          <w:sz w:val="20"/>
        </w:rPr>
        <w:t xml:space="preserve">**@sentry/node**  |  N/A  |  Required  |  Required  |  Recommended</w:t>
      </w:r>
    </w:p>
    <w:p>
      <w:r>
        <w:rPr>
          <w:sz w:val="20"/>
        </w:rPr>
        <w:t xml:space="preserve">**@supabase/supabase-js**  |  N/A  |  Required  |  Required  |  Required</w:t>
      </w:r>
    </w:p>
    <w:p>
      <w:r>
        <w:rPr>
          <w:sz w:val="20"/>
        </w:rPr>
        <w:t xml:space="preserve">**openai**  |  Required  |  Required  |  Required  |  Recommended</w:t>
      </w:r>
    </w:p>
    <w:p>
      <w:r>
        <w:rPr>
          <w:sz w:val="20"/>
        </w:rPr>
        <w:t xml:space="preserve">**posthog**  |  Required  |  Required  |  Required  |  Recommended</w:t>
      </w:r>
    </w:p>
    <w:p>
      <w:r>
        <w:rPr>
          <w:sz w:val="20"/>
        </w:rPr>
        <w:t xml:space="preserve">**prisma**  |  N/A  |  Required  |  Required  |  Required</w:t>
      </w:r>
    </w:p>
    <w:p>
      <w:r>
        <w:rPr>
          <w:sz w:val="20"/>
        </w:rPr>
        <w:t xml:space="preserve">**resend**  |  Required  |  Required  |  Required  |  Recommended</w:t>
      </w:r>
    </w:p>
    <w:p>
      <w:r>
        <w:rPr>
          <w:sz w:val="20"/>
        </w:rPr>
        <w:t xml:space="preserve">**stripe**  |  N/A  |  Required  |  Required  |  Required</w:t>
      </w:r>
    </w:p>
    <w:p>
      <w:r>
        <w:rPr>
          <w:sz w:val="20"/>
        </w:rPr>
        <w:t xml:space="preserve">**stripe-ios**  |  N/A  |  Required  |  Required  |  Required</w:t>
      </w:r>
    </w:p>
    <w:p>
      <w:pPr>
        <w:pBdr>
          <w:bottom w:val="single" w:sz="6" w:space="1" w:color="999999"/>
        </w:pBdr>
      </w:pPr>
    </w:p>
    <w:p>
      <w:pPr>
        <w:pStyle w:val="Heading2"/>
      </w:pPr>
      <w:r>
        <w:t>7. Test Execution Schedule</w:t>
      </w:r>
    </w:p>
    <w:p>
      <w:r>
        <w:rPr>
          <w:sz w:val="20"/>
        </w:rPr>
        <w:t xml:space="preserve">Cadence  |  Tests  |  Owner</w:t>
      </w:r>
    </w:p>
    <w:p>
      <w:r>
        <w:rPr>
          <w:sz w:val="20"/>
        </w:rPr>
        <w:t xml:space="preserve">Every release  |  Consent flow, Access control, API security  |  Engineering</w:t>
      </w:r>
    </w:p>
    <w:p>
      <w:r>
        <w:rPr>
          <w:sz w:val="20"/>
        </w:rPr>
        <w:t xml:space="preserve">Monthly  |  Data deletion, Encryption verification  |  Security + Engineering</w:t>
      </w:r>
    </w:p>
    <w:p>
      <w:r>
        <w:rPr>
          <w:sz w:val="20"/>
        </w:rPr>
        <w:t xml:space="preserve">Quarterly  |  Breach notification drill, Data minimization audit  |  Security + Legal</w:t>
      </w:r>
    </w:p>
    <w:p>
      <w:r>
        <w:rPr>
          <w:sz w:val="20"/>
        </w:rPr>
        <w:t xml:space="preserve">Annually  |  Full compliance test suite, Penetration test  |  Security + External auditor</w:t>
      </w:r>
    </w:p>
    <w:p>
      <w:pPr>
        <w:pBdr>
          <w:bottom w:val="single" w:sz="6" w:space="1" w:color="999999"/>
        </w:pBdr>
      </w:pPr>
    </w:p>
    <w:p>
      <w:pPr>
        <w:pStyle w:val="Heading2"/>
      </w:pPr>
      <w:r>
        <w:t>8. Test Automation</w:t>
      </w:r>
    </w:p>
    <w:p>
      <w:r>
        <w:t xml:space="preserve">Integrate compliance tests into CI/CD:</w:t>
      </w:r>
    </w:p>
    <w:p>
      <w:pPr>
        <w:pStyle w:val="Code"/>
      </w:pPr>
      <w:r>
        <w:rPr>
          <w:rFonts w:ascii="Courier New" w:hAnsi="Courier New"/>
          <w:sz w:val="18"/>
        </w:rPr>
        <w:t xml:space="preserve"># .github/workflows/compliance-tests.yml</w:t>
      </w:r>
    </w:p>
    <w:p>
      <w:pPr>
        <w:pStyle w:val="Code"/>
      </w:pPr>
      <w:r>
        <w:rPr>
          <w:rFonts w:ascii="Courier New" w:hAnsi="Courier New"/>
          <w:sz w:val="18"/>
        </w:rPr>
        <w:t xml:space="preserve">name: Compliance Tests</w:t>
      </w:r>
    </w:p>
    <w:p>
      <w:pPr>
        <w:pStyle w:val="Code"/>
      </w:pPr>
      <w:r>
        <w:rPr>
          <w:rFonts w:ascii="Courier New" w:hAnsi="Courier New"/>
          <w:sz w:val="18"/>
        </w:rPr>
        <w:t xml:space="preserve">on: [pull_request]</w:t>
      </w:r>
    </w:p>
    <w:p>
      <w:pPr>
        <w:pStyle w:val="Code"/>
      </w:pPr>
      <w:r>
        <w:rPr>
          <w:rFonts w:ascii="Courier New" w:hAnsi="Courier New"/>
          <w:sz w:val="18"/>
        </w:rPr>
        <w:t xml:space="preserve">jobs:</w:t>
      </w:r>
    </w:p>
    <w:p>
      <w:pPr>
        <w:pStyle w:val="Code"/>
      </w:pPr>
      <w:r>
        <w:rPr>
          <w:rFonts w:ascii="Courier New" w:hAnsi="Courier New"/>
          <w:sz w:val="18"/>
        </w:rPr>
        <w:t xml:space="preserve">  compliance:</w:t>
      </w:r>
    </w:p>
    <w:p>
      <w:pPr>
        <w:pStyle w:val="Code"/>
      </w:pPr>
      <w:r>
        <w:rPr>
          <w:rFonts w:ascii="Courier New" w:hAnsi="Courier New"/>
          <w:sz w:val="18"/>
        </w:rPr>
        <w:t xml:space="preserve">    runs-on: ubuntu-latest</w:t>
      </w:r>
    </w:p>
    <w:p>
      <w:pPr>
        <w:pStyle w:val="Code"/>
      </w:pPr>
      <w:r>
        <w:rPr>
          <w:rFonts w:ascii="Courier New" w:hAnsi="Courier New"/>
          <w:sz w:val="18"/>
        </w:rPr>
        <w:t xml:space="preserve">    steps:</w:t>
      </w:r>
    </w:p>
    <w:p>
      <w:pPr>
        <w:pStyle w:val="Code"/>
      </w:pPr>
      <w:r>
        <w:rPr>
          <w:rFonts w:ascii="Courier New" w:hAnsi="Courier New"/>
          <w:sz w:val="18"/>
        </w:rPr>
        <w:t xml:space="preserve">      - uses: actions/checkout@v4</w:t>
      </w:r>
    </w:p>
    <w:p>
      <w:pPr>
        <w:pStyle w:val="Code"/>
      </w:pPr>
      <w:r>
        <w:rPr>
          <w:rFonts w:ascii="Courier New" w:hAnsi="Courier New"/>
          <w:sz w:val="18"/>
        </w:rPr>
        <w:t xml:space="preserve">      - run: npm test -- --grep 'compliance'</w:t>
      </w:r>
    </w:p>
    <w:p>
      <w:pPr>
        <w:pStyle w:val="Code"/>
      </w:pPr>
      <w:r>
        <w:rPr>
          <w:rFonts w:ascii="Courier New" w:hAnsi="Courier New"/>
          <w:sz w:val="18"/>
        </w:rPr>
        <w:t xml:space="preserve">      - run: npx codepliant check --ci</w:t>
      </w:r>
    </w:p>
    <w:p>
      <w:pPr>
        <w:pBdr>
          <w:bottom w:val="single" w:sz="6" w:space="1" w:color="999999"/>
        </w:pBdr>
      </w:pPr>
    </w:p>
    <w:p>
      <w:r>
        <w:t xml:space="preserve">This Compliance Testing Plan was auto-generated by Codepliant based on detected services. Test cases should be adapted to your specific implementation. This document does not constitute legal advice.</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